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before="168"/>
        <w:ind w:firstLine="0" w:left="0" w:right="0"/>
        <w:jc w:val="both"/>
        <w:rPr>
          <w:b w:val="0"/>
        </w:rPr>
      </w:pPr>
    </w:p>
    <w:p w14:paraId="03000000">
      <w:pPr>
        <w:spacing w:after="0" w:before="0"/>
        <w:ind w:firstLine="0" w:left="0" w:right="0"/>
        <w:jc w:val="both"/>
        <w:rPr>
          <w:b w:val="0"/>
        </w:rPr>
      </w:pPr>
      <w:r>
        <w:rPr>
          <w:rFonts w:ascii="Times New Roman" w:hAnsi="Times New Roman"/>
          <w:b w:val="1"/>
          <w:sz w:val="28"/>
        </w:rPr>
        <w:t>ФТС России: таможенные органы не осуществляют проверочные мероприятия в пунктах пропуска на границе России и Казахстана и не оказывают влияния на прохождение через них транспортных средств</w:t>
      </w:r>
      <w:r>
        <w:br/>
      </w:r>
    </w:p>
    <w:p w14:paraId="04000000">
      <w:pPr>
        <w:spacing w:after="120" w:before="120"/>
        <w:ind w:firstLine="0" w:left="120" w:righ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Информация&gt;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ФТС России от 29.10.2025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 ситуации на российско-казахстанском участке государственной границы"</w:t>
      </w:r>
    </w:p>
    <w:p w14:paraId="05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Ведомство отмечает, что в пунктах пропуска на данном участке погранпереходы работают в штатном режиме.</w:t>
      </w:r>
    </w:p>
    <w:p w14:paraId="06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Вблизи российско-казахстанского участка границы на трассах, по которым проходят основные транспортные потоки, работают мобильные группы таможенных органов, которые осуществляют выборочный контроль и проверку транспортных средств, въехавших на территорию России, с целью предотвращения незаконного перемещения товаров. Проверочные мероприятия осуществляются на территории РФ строго в соответствии с законодательством.</w:t>
      </w:r>
    </w:p>
    <w:p w14:paraId="07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Также напоминают о том, что 24 октября 2025 года издан Указ Президента РФ N 778, в соответствии с которым до 10 декабря 2025 года разрешен ввоз в Россию товаров автомобильным транспортом из Казахстана и Киргизии без документов, подтверждающих их статус как товаров ЕАЭС, а также без маркировки, при соблюдении определенных условий.</w:t>
      </w:r>
    </w:p>
    <w:p w14:paraId="08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 </w:t>
      </w:r>
    </w:p>
    <w:p w14:paraId="09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2025-11-11T14:41:34Z</dcterms:modified>
</cp:coreProperties>
</file>